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E5C0CBD" w14:textId="77777777" w:rsidR="00CD676A" w:rsidRDefault="00000000">
      <w:pPr>
        <w:pStyle w:val="Title"/>
      </w:pPr>
      <w:r>
        <w:t>Student Idea Attribution (SIA)</w:t>
      </w:r>
    </w:p>
    <w:p w14:paraId="4C617278" w14:textId="77777777" w:rsidR="00CD676A" w:rsidRDefault="00000000">
      <w:pPr>
        <w:spacing w:after="60"/>
      </w:pPr>
      <w:r>
        <w:rPr>
          <w:color w:val="555555"/>
          <w:sz w:val="26"/>
          <w:szCs w:val="26"/>
        </w:rPr>
        <w:t>Coding Rubric — June 2026</w:t>
      </w:r>
    </w:p>
    <w:p w14:paraId="51714E31" w14:textId="03FAEBF6" w:rsidR="00CD676A" w:rsidRDefault="00000000">
      <w:pPr>
        <w:spacing w:after="120"/>
      </w:pPr>
      <w:r>
        <w:t xml:space="preserve">Student Idea Attribution occurs when a teacher </w:t>
      </w:r>
      <w:r w:rsidRPr="00BD1BA3">
        <w:t>takes up a student’s mathematical idea</w:t>
      </w:r>
      <w:r>
        <w:t xml:space="preserve"> </w:t>
      </w:r>
      <w:r w:rsidR="009F7FF1">
        <w:t xml:space="preserve">by </w:t>
      </w:r>
      <w:r>
        <w:t xml:space="preserve">revoicing, restating, or calling attention to it and </w:t>
      </w:r>
      <w:r w:rsidRPr="00BD1BA3">
        <w:t>explicitly attributes it to a specific student</w:t>
      </w:r>
      <w:r>
        <w:t xml:space="preserve">. Code </w:t>
      </w:r>
      <w:r>
        <w:rPr>
          <w:b/>
          <w:bCs/>
        </w:rPr>
        <w:t>1</w:t>
      </w:r>
      <w:r>
        <w:t xml:space="preserve"> when both conditions below are met in the </w:t>
      </w:r>
      <w:r w:rsidRPr="00BD1BA3">
        <w:t>same teacher utterance</w:t>
      </w:r>
      <w:r>
        <w:t xml:space="preserve">; code </w:t>
      </w:r>
      <w:r>
        <w:rPr>
          <w:b/>
          <w:bCs/>
        </w:rPr>
        <w:t>0</w:t>
      </w:r>
      <w:r>
        <w:t xml:space="preserve"> otherwise.</w:t>
      </w:r>
    </w:p>
    <w:p w14:paraId="02D19D86" w14:textId="4BA8C97F" w:rsidR="00CD676A" w:rsidRDefault="009F7FF1">
      <w:pPr>
        <w:pStyle w:val="Heading1"/>
      </w:pPr>
      <w:r>
        <w:t>Quick Guide</w:t>
      </w:r>
    </w:p>
    <w:p w14:paraId="3E94CA7D" w14:textId="5F972B67" w:rsidR="00CD676A" w:rsidRDefault="00000000">
      <w:pPr>
        <w:spacing w:after="120"/>
      </w:pPr>
      <w:r>
        <w:t>Two conditions define SIA:</w:t>
      </w:r>
    </w:p>
    <w:p w14:paraId="6D28E8B7" w14:textId="4A5AC7DA" w:rsidR="00CD676A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Attribution. </w:t>
      </w:r>
      <w:r>
        <w:t>The teacher refers to a specific student or student group</w:t>
      </w:r>
      <w:r w:rsidR="009F7FF1">
        <w:t xml:space="preserve">, </w:t>
      </w:r>
      <w:r>
        <w:t>by name, pronoun, or identifying signifier; not a generic “someone” or a whole-class “we.”</w:t>
      </w:r>
    </w:p>
    <w:p w14:paraId="55749403" w14:textId="332196CA" w:rsidR="00CD676A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Mathematical substance. </w:t>
      </w:r>
      <w:r>
        <w:t>The teacher highlights a</w:t>
      </w:r>
      <w:r w:rsidR="009F7FF1">
        <w:t xml:space="preserve"> student</w:t>
      </w:r>
      <w:r>
        <w:t xml:space="preserve"> idea</w:t>
      </w:r>
      <w:r w:rsidR="009F7FF1">
        <w:t xml:space="preserve">, which is </w:t>
      </w:r>
      <w:r>
        <w:t>a strategy, explanation, justification, generalization, or connection</w:t>
      </w:r>
      <w:r w:rsidR="009F7FF1">
        <w:t xml:space="preserve">, </w:t>
      </w:r>
      <w:r>
        <w:t>not just a final answer or an unexplained step.</w:t>
      </w:r>
    </w:p>
    <w:p w14:paraId="745F27B4" w14:textId="77777777" w:rsidR="00CD676A" w:rsidRDefault="00000000">
      <w:pPr>
        <w:spacing w:after="120"/>
      </w:pPr>
      <w:r>
        <w:t xml:space="preserve">Three quick checks operationalize the two conditions. Check </w:t>
      </w:r>
      <w:r w:rsidRPr="009F7FF1">
        <w:t>in order</w:t>
      </w:r>
      <w:r>
        <w:t xml:space="preserve"> and </w:t>
      </w:r>
      <w:r w:rsidRPr="009F7FF1">
        <w:t>stop at the first “No”</w:t>
      </w:r>
      <w:r>
        <w:t>: Check 1 is the Attribution condition; Checks 2–3 together are the Mathematical-substance condition.</w:t>
      </w:r>
    </w:p>
    <w:p w14:paraId="018324D2" w14:textId="1884BFD6" w:rsidR="00CD676A" w:rsidRDefault="00000000">
      <w:pPr>
        <w:spacing w:after="160"/>
      </w:pPr>
      <w:r>
        <w:rPr>
          <w:b/>
          <w:bCs/>
          <w:color w:val="2E5C8A"/>
        </w:rPr>
        <w:t>REFER</w:t>
      </w:r>
      <w:r w:rsidR="009F7FF1">
        <w:rPr>
          <w:b/>
          <w:bCs/>
          <w:color w:val="2E5C8A"/>
        </w:rPr>
        <w:t>ENCE</w:t>
      </w:r>
      <w:r>
        <w:rPr>
          <w:b/>
          <w:bCs/>
          <w:color w:val="2E5C8A"/>
        </w:rPr>
        <w:t xml:space="preserve"> </w:t>
      </w:r>
      <w:r>
        <w:t xml:space="preserve">→  </w:t>
      </w:r>
      <w:r>
        <w:rPr>
          <w:b/>
          <w:bCs/>
          <w:color w:val="2E5C8A"/>
        </w:rPr>
        <w:t xml:space="preserve">UPTAKE </w:t>
      </w:r>
      <w:r>
        <w:t xml:space="preserve">→  </w:t>
      </w:r>
      <w:r>
        <w:rPr>
          <w:b/>
          <w:bCs/>
          <w:color w:val="2E5C8A"/>
        </w:rPr>
        <w:t>MATH</w:t>
      </w: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D676A" w14:paraId="680BBDE3" w14:textId="77777777">
        <w:tc>
          <w:tcPr>
            <w:tcW w:w="9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284C81" w14:textId="5C5A025A" w:rsidR="00CD676A" w:rsidRDefault="00000000">
            <w:pPr>
              <w:jc w:val="center"/>
            </w:pPr>
            <w:r>
              <w:rPr>
                <w:b/>
                <w:bCs/>
              </w:rPr>
              <w:t>SIA = the teacher takes up a student’s mathematical idea and attributes it to a specific student</w:t>
            </w:r>
            <w:r w:rsidR="009F7FF1">
              <w:rPr>
                <w:b/>
                <w:bCs/>
              </w:rPr>
              <w:t xml:space="preserve"> or students</w:t>
            </w:r>
            <w:r>
              <w:rPr>
                <w:b/>
                <w:bCs/>
              </w:rPr>
              <w:t>.</w:t>
            </w:r>
          </w:p>
        </w:tc>
      </w:tr>
      <w:tr w:rsidR="00CD676A" w14:paraId="54BA1915" w14:textId="77777777">
        <w:tc>
          <w:tcPr>
            <w:tcW w:w="9360" w:type="dxa"/>
          </w:tcPr>
          <w:p w14:paraId="2580AEAE" w14:textId="77777777" w:rsidR="00CD676A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2E5C8A"/>
              </w:rPr>
              <w:t>↓  if YES</w:t>
            </w:r>
          </w:p>
        </w:tc>
      </w:tr>
      <w:tr w:rsidR="00CD676A" w14:paraId="5EF55A3C" w14:textId="77777777">
        <w:tc>
          <w:tcPr>
            <w:tcW w:w="9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612C99" w14:textId="0BA22A72" w:rsidR="00CD676A" w:rsidRDefault="00000000">
            <w:pPr>
              <w:spacing w:after="40"/>
            </w:pPr>
            <w:r>
              <w:rPr>
                <w:b/>
                <w:bCs/>
                <w:color w:val="2E5C8A"/>
              </w:rPr>
              <w:t>CHECK 1 · REFER</w:t>
            </w:r>
            <w:r w:rsidR="00BD1BA3">
              <w:rPr>
                <w:b/>
                <w:bCs/>
                <w:color w:val="2E5C8A"/>
              </w:rPr>
              <w:t>ENCE</w:t>
            </w:r>
            <w:r>
              <w:rPr>
                <w:b/>
                <w:bCs/>
                <w:color w:val="2E5C8A"/>
              </w:rPr>
              <w:t xml:space="preserve">  (Attribution)</w:t>
            </w:r>
          </w:p>
          <w:p w14:paraId="64F8A79F" w14:textId="4866C24C" w:rsidR="00CD676A" w:rsidRDefault="00000000">
            <w:pPr>
              <w:spacing w:after="40"/>
            </w:pPr>
            <w:r>
              <w:t xml:space="preserve">Does the teacher refer to a </w:t>
            </w:r>
            <w:r>
              <w:rPr>
                <w:b/>
                <w:bCs/>
              </w:rPr>
              <w:t>specific</w:t>
            </w:r>
            <w:r>
              <w:t xml:space="preserve"> student or group</w:t>
            </w:r>
            <w:r w:rsidR="009F7FF1">
              <w:t>,</w:t>
            </w:r>
            <w:r>
              <w:t xml:space="preserve"> by name, pronoun, or identifying signifier?</w:t>
            </w:r>
          </w:p>
          <w:p w14:paraId="324367E4" w14:textId="77777777" w:rsidR="00CD676A" w:rsidRDefault="00000000">
            <w:r>
              <w:rPr>
                <w:i/>
                <w:iCs/>
                <w:color w:val="9B2C2C"/>
              </w:rPr>
              <w:t>If NO → code 0 and stop.</w:t>
            </w:r>
          </w:p>
        </w:tc>
      </w:tr>
      <w:tr w:rsidR="00CD676A" w14:paraId="0CE52C69" w14:textId="77777777">
        <w:tc>
          <w:tcPr>
            <w:tcW w:w="9360" w:type="dxa"/>
          </w:tcPr>
          <w:p w14:paraId="0593A9C9" w14:textId="77777777" w:rsidR="00CD676A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2E5C8A"/>
              </w:rPr>
              <w:t>↓  if YES</w:t>
            </w:r>
          </w:p>
        </w:tc>
      </w:tr>
      <w:tr w:rsidR="00CD676A" w14:paraId="232E33C6" w14:textId="77777777">
        <w:tc>
          <w:tcPr>
            <w:tcW w:w="9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EE567F3" w14:textId="77777777" w:rsidR="00CD676A" w:rsidRDefault="00000000">
            <w:pPr>
              <w:spacing w:after="40"/>
            </w:pPr>
            <w:r>
              <w:rPr>
                <w:b/>
                <w:bCs/>
                <w:color w:val="2E5C8A"/>
              </w:rPr>
              <w:t>CHECK 2 · UPTAKE</w:t>
            </w:r>
          </w:p>
          <w:p w14:paraId="51D1AAC5" w14:textId="18D37751" w:rsidR="00CD676A" w:rsidRDefault="00000000">
            <w:pPr>
              <w:spacing w:after="40"/>
            </w:pPr>
            <w:r>
              <w:t xml:space="preserve">Does the teacher </w:t>
            </w:r>
            <w:r>
              <w:rPr>
                <w:b/>
                <w:bCs/>
              </w:rPr>
              <w:t>take up</w:t>
            </w:r>
            <w:r>
              <w:t xml:space="preserve"> the contribution</w:t>
            </w:r>
            <w:r w:rsidR="009F7FF1">
              <w:t xml:space="preserve">, (e.g., </w:t>
            </w:r>
            <w:r>
              <w:t>revoice, restate, or call attention to it</w:t>
            </w:r>
            <w:r w:rsidR="009F7FF1">
              <w:t>)</w:t>
            </w:r>
            <w:r>
              <w:t xml:space="preserve"> rather than only evaluate or correct?</w:t>
            </w:r>
          </w:p>
          <w:p w14:paraId="73912B11" w14:textId="77777777" w:rsidR="00CD676A" w:rsidRDefault="00000000">
            <w:r>
              <w:rPr>
                <w:i/>
                <w:iCs/>
                <w:color w:val="9B2C2C"/>
              </w:rPr>
              <w:t>If NO → code 0 and stop.</w:t>
            </w:r>
          </w:p>
        </w:tc>
      </w:tr>
      <w:tr w:rsidR="00CD676A" w14:paraId="0C4B6CAA" w14:textId="77777777">
        <w:tc>
          <w:tcPr>
            <w:tcW w:w="9360" w:type="dxa"/>
          </w:tcPr>
          <w:p w14:paraId="3E84EB80" w14:textId="77777777" w:rsidR="00CD676A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2E5C8A"/>
              </w:rPr>
              <w:t>↓  if YES</w:t>
            </w:r>
          </w:p>
        </w:tc>
      </w:tr>
      <w:tr w:rsidR="00CD676A" w14:paraId="157368ED" w14:textId="77777777">
        <w:tc>
          <w:tcPr>
            <w:tcW w:w="9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4945D18" w14:textId="77777777" w:rsidR="00CD676A" w:rsidRDefault="00000000">
            <w:pPr>
              <w:spacing w:after="40"/>
            </w:pPr>
            <w:r>
              <w:rPr>
                <w:b/>
                <w:bCs/>
                <w:color w:val="2E5C8A"/>
              </w:rPr>
              <w:t>CHECK 3 · MATH  (Substance)</w:t>
            </w:r>
          </w:p>
          <w:p w14:paraId="0AC4496C" w14:textId="4C268778" w:rsidR="00CD676A" w:rsidRDefault="00000000">
            <w:pPr>
              <w:spacing w:after="40"/>
            </w:pPr>
            <w:r>
              <w:t xml:space="preserve">Is what’s taken up a </w:t>
            </w:r>
            <w:r>
              <w:rPr>
                <w:b/>
                <w:bCs/>
              </w:rPr>
              <w:t>mathematical idea</w:t>
            </w:r>
            <w:r>
              <w:t xml:space="preserve"> </w:t>
            </w:r>
            <w:r w:rsidR="009F7FF1">
              <w:t xml:space="preserve"> (e.g., </w:t>
            </w:r>
            <w:r>
              <w:t>a strategy, explanation, justification, generalization, or connection</w:t>
            </w:r>
            <w:r w:rsidR="009F7FF1">
              <w:t>)</w:t>
            </w:r>
            <w:r>
              <w:t xml:space="preserve"> rather than a final answer or routine procedure?</w:t>
            </w:r>
          </w:p>
          <w:p w14:paraId="274176B3" w14:textId="77777777" w:rsidR="00CD676A" w:rsidRDefault="00000000">
            <w:r>
              <w:rPr>
                <w:i/>
                <w:iCs/>
                <w:color w:val="9B2C2C"/>
              </w:rPr>
              <w:t>If NO → code 0 and stop.</w:t>
            </w:r>
          </w:p>
        </w:tc>
      </w:tr>
      <w:tr w:rsidR="00CD676A" w14:paraId="4A1B1AB5" w14:textId="77777777">
        <w:tc>
          <w:tcPr>
            <w:tcW w:w="9360" w:type="dxa"/>
          </w:tcPr>
          <w:p w14:paraId="078D12E9" w14:textId="77777777" w:rsidR="00CD676A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2E5C8A"/>
              </w:rPr>
              <w:t>↓  if YES</w:t>
            </w:r>
          </w:p>
        </w:tc>
      </w:tr>
      <w:tr w:rsidR="00CD676A" w14:paraId="00AAE5CA" w14:textId="77777777">
        <w:tc>
          <w:tcPr>
            <w:tcW w:w="9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DEED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CDC7616" w14:textId="77777777" w:rsidR="00CD676A" w:rsidRDefault="00000000">
            <w:pPr>
              <w:jc w:val="center"/>
            </w:pPr>
            <w:r>
              <w:rPr>
                <w:b/>
                <w:bCs/>
              </w:rPr>
              <w:t>All three YES → code 1 (SIA present).</w:t>
            </w:r>
          </w:p>
        </w:tc>
      </w:tr>
    </w:tbl>
    <w:p w14:paraId="373E27E9" w14:textId="1C873A9E" w:rsidR="00CD676A" w:rsidRDefault="00000000">
      <w:pPr>
        <w:spacing w:before="120"/>
      </w:pPr>
      <w:r>
        <w:t xml:space="preserve">Checks 2 </w:t>
      </w:r>
      <w:r w:rsidR="00D26289">
        <w:t>VS.</w:t>
      </w:r>
      <w:r>
        <w:t xml:space="preserve"> 3: Check 2 asks what the </w:t>
      </w:r>
      <w:r>
        <w:rPr>
          <w:i/>
          <w:iCs/>
        </w:rPr>
        <w:t>teacher</w:t>
      </w:r>
      <w:r>
        <w:t xml:space="preserve"> does with the contribution; Check 3 asks whether the contribution is an </w:t>
      </w:r>
      <w:r>
        <w:rPr>
          <w:i/>
          <w:iCs/>
        </w:rPr>
        <w:t>idea</w:t>
      </w:r>
      <w:r>
        <w:t xml:space="preserve">. A teacher can warmly take up a bare answer (passes 2, fails 3) or name a student with a real idea but never take it up (fails 2, passes 3) </w:t>
      </w:r>
      <w:r w:rsidR="00D26289">
        <w:t xml:space="preserve">; </w:t>
      </w:r>
      <w:r>
        <w:t>both are code</w:t>
      </w:r>
      <w:r w:rsidR="00D26289">
        <w:t>d</w:t>
      </w:r>
      <w:r>
        <w:t xml:space="preserve"> 0.</w:t>
      </w:r>
    </w:p>
    <w:p w14:paraId="668DF1F5" w14:textId="77777777" w:rsidR="00CD676A" w:rsidRDefault="00000000">
      <w:pPr>
        <w:pStyle w:val="Heading1"/>
      </w:pPr>
      <w:r>
        <w:lastRenderedPageBreak/>
        <w:t>What you code, and the context window</w:t>
      </w:r>
    </w:p>
    <w:p w14:paraId="6E8820EA" w14:textId="1C776C82" w:rsidR="00CD676A" w:rsidRDefault="00000000">
      <w:pPr>
        <w:spacing w:after="120"/>
      </w:pPr>
      <w:r>
        <w:t xml:space="preserve">The unit you code is the </w:t>
      </w:r>
      <w:r w:rsidRPr="00D26289">
        <w:t>teacher utterance</w:t>
      </w:r>
      <w:r>
        <w:t xml:space="preserve">. You also have a </w:t>
      </w:r>
      <w:r w:rsidRPr="00D26289">
        <w:t>three-utterance context window</w:t>
      </w:r>
      <w:r>
        <w:t>, including the student turn the teacher is responding to. Use it to interpret the utterance</w:t>
      </w:r>
      <w:r w:rsidR="00D26289">
        <w:t>,</w:t>
      </w:r>
      <w:r>
        <w:t xml:space="preserve"> in particular, </w:t>
      </w:r>
      <w:r w:rsidRPr="00D26289">
        <w:t>judge mathematical substance against the student’s preceding turn</w:t>
      </w:r>
      <w:r w:rsidR="00D26289">
        <w:t>. B</w:t>
      </w:r>
      <w:r>
        <w:t>ut both conditions must be carried by the teacher utterance itself.</w:t>
      </w:r>
    </w:p>
    <w:p w14:paraId="776393D6" w14:textId="51A5E8CE" w:rsidR="00CD676A" w:rsidRDefault="00000000">
      <w:pPr>
        <w:pStyle w:val="Heading1"/>
      </w:pPr>
      <w:r>
        <w:t>Check 1 · REFER</w:t>
      </w:r>
      <w:r w:rsidR="002F72C1">
        <w:t xml:space="preserve">: </w:t>
      </w:r>
      <w:r>
        <w:t>Does the teacher refer to a specific student? (Attribution)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D676A" w14:paraId="06825BF0" w14:textId="77777777">
        <w:trPr>
          <w:tblHeader/>
        </w:trPr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2B690F" w14:textId="77777777" w:rsidR="00CD676A" w:rsidRDefault="00000000">
            <w:r>
              <w:rPr>
                <w:b/>
                <w:bCs/>
                <w:color w:val="1E6B2F"/>
              </w:rPr>
              <w:t>Counts as YES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6A4915" w14:textId="77777777" w:rsidR="00CD676A" w:rsidRDefault="00000000">
            <w:r>
              <w:rPr>
                <w:b/>
                <w:bCs/>
                <w:color w:val="9B2C2C"/>
              </w:rPr>
              <w:t>Counts as NO</w:t>
            </w:r>
          </w:p>
        </w:tc>
      </w:tr>
      <w:tr w:rsidR="00CD676A" w14:paraId="45EC8AA3" w14:textId="77777777"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0DA73B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t xml:space="preserve">a specific </w:t>
            </w:r>
            <w:r w:rsidRPr="004504FA">
              <w:t>student name</w:t>
            </w:r>
          </w:p>
          <w:p w14:paraId="70D5603E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 w:rsidRPr="004504FA">
              <w:t>“you” / “your”</w:t>
            </w:r>
            <w:r>
              <w:t xml:space="preserve"> — but not the general “you” addressed to the whole class</w:t>
            </w:r>
          </w:p>
          <w:p w14:paraId="44DA143F" w14:textId="369C6E8B" w:rsidR="00CD676A" w:rsidRPr="004504F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 w:rsidRPr="004504FA">
              <w:t>“he / she / they” or his / her / their</w:t>
            </w:r>
          </w:p>
          <w:p w14:paraId="7D479A1D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 w:rsidRPr="004504FA">
              <w:t>“your group / their group”</w:t>
            </w:r>
            <w:r>
              <w:t xml:space="preserve"> or another identifying signifier for a specific student or group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F03396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t xml:space="preserve">a </w:t>
            </w:r>
            <w:r w:rsidRPr="004504FA">
              <w:t>generic</w:t>
            </w:r>
            <w:r>
              <w:t xml:space="preserve"> reference: “someone said…”, “a student mentioned…”</w:t>
            </w:r>
          </w:p>
          <w:p w14:paraId="1FF7CE4C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t xml:space="preserve">a whole-class </w:t>
            </w:r>
            <w:r w:rsidRPr="004504FA">
              <w:t>“we”</w:t>
            </w:r>
            <w:r>
              <w:t xml:space="preserve"> with no specific student</w:t>
            </w:r>
          </w:p>
          <w:p w14:paraId="00B1F40F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t>no reference to a student at all</w:t>
            </w:r>
          </w:p>
        </w:tc>
      </w:tr>
    </w:tbl>
    <w:p w14:paraId="1E8F68FC" w14:textId="0394B580" w:rsidR="00CD676A" w:rsidRDefault="00000000">
      <w:pPr>
        <w:spacing w:before="120"/>
      </w:pPr>
      <w:r>
        <w:rPr>
          <w:b/>
          <w:bCs/>
        </w:rPr>
        <w:t>Special case</w:t>
      </w:r>
      <w:r w:rsidR="002F72C1">
        <w:rPr>
          <w:b/>
          <w:bCs/>
        </w:rPr>
        <w:t xml:space="preserve">, </w:t>
      </w:r>
      <w:r>
        <w:rPr>
          <w:b/>
          <w:bCs/>
        </w:rPr>
        <w:t xml:space="preserve">character names: </w:t>
      </w:r>
      <w:r>
        <w:t xml:space="preserve">if the teacher names a character in a math problem, still treat this check as satisfied </w:t>
      </w:r>
      <w:r>
        <w:rPr>
          <w:i/>
          <w:iCs/>
        </w:rPr>
        <w:t>provided the utterance also takes up a mathematical idea</w:t>
      </w:r>
      <w:r>
        <w:t xml:space="preserve">. </w:t>
      </w:r>
    </w:p>
    <w:p w14:paraId="7EBB3B59" w14:textId="11A42EE3" w:rsidR="00CD676A" w:rsidRDefault="00000000">
      <w:pPr>
        <w:pStyle w:val="Heading1"/>
      </w:pPr>
      <w:r>
        <w:t>Check 2 · UPTAKE</w:t>
      </w:r>
      <w:r w:rsidR="002F72C1">
        <w:t xml:space="preserve">: </w:t>
      </w:r>
      <w:r>
        <w:t>Does the teacher take up the contribution?</w:t>
      </w:r>
    </w:p>
    <w:p w14:paraId="6FE0C130" w14:textId="09802FFA" w:rsidR="00CD676A" w:rsidRDefault="00000000">
      <w:pPr>
        <w:spacing w:after="120"/>
      </w:pPr>
      <w:r>
        <w:t xml:space="preserve">This check is about the </w:t>
      </w:r>
      <w:r w:rsidRPr="002F72C1">
        <w:t>teacher’s move</w:t>
      </w:r>
      <w:r>
        <w:t xml:space="preserve">, not whether the idea is mathematical. Ask whether the teacher does </w:t>
      </w:r>
      <w:r w:rsidRPr="002F72C1">
        <w:t>more than</w:t>
      </w:r>
      <w:r>
        <w:t xml:space="preserve"> evaluate, or correct. The take-up must point to a </w:t>
      </w:r>
      <w:r>
        <w:rPr>
          <w:b/>
          <w:bCs/>
        </w:rPr>
        <w:t>specific mathematical detail</w:t>
      </w:r>
      <w:r>
        <w:t xml:space="preserve"> of the contribution; generic praise (“nice job”) with no specific detail is not uptake. (“Uptake” here is the rater’s judgment of take-up, distinct from the automated uptake filter used to build the </w:t>
      </w:r>
      <w:r w:rsidR="002F72C1">
        <w:t>labeling</w:t>
      </w:r>
      <w:r>
        <w:t xml:space="preserve"> set.)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D676A" w14:paraId="0ACE3D48" w14:textId="77777777">
        <w:trPr>
          <w:tblHeader/>
        </w:trPr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603205" w14:textId="77777777" w:rsidR="00CD676A" w:rsidRDefault="00000000">
            <w:r>
              <w:rPr>
                <w:b/>
                <w:bCs/>
                <w:color w:val="1E6B2F"/>
              </w:rPr>
              <w:t>Counts as YES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6BACBB" w14:textId="77777777" w:rsidR="00CD676A" w:rsidRDefault="00000000">
            <w:r>
              <w:rPr>
                <w:b/>
                <w:bCs/>
                <w:color w:val="9B2C2C"/>
              </w:rPr>
              <w:t>Counts as NO</w:t>
            </w:r>
          </w:p>
        </w:tc>
      </w:tr>
      <w:tr w:rsidR="00CD676A" w14:paraId="61515F9F" w14:textId="77777777"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11A13D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rPr>
                <w:b/>
                <w:bCs/>
              </w:rPr>
              <w:t>revoices, restates, or names a specific mathematical detail</w:t>
            </w:r>
            <w:r>
              <w:t xml:space="preserve"> of the contribution</w:t>
            </w:r>
          </w:p>
          <w:p w14:paraId="30636FD6" w14:textId="7CBEDAFF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rPr>
                <w:b/>
                <w:bCs/>
              </w:rPr>
              <w:t>calls attention to it</w:t>
            </w:r>
            <w:r w:rsidR="002F72C1">
              <w:rPr>
                <w:b/>
                <w:bCs/>
              </w:rPr>
              <w:t>,</w:t>
            </w:r>
            <w:r>
              <w:t xml:space="preserve"> says or implies why it’s worth attention, positively or neutrally</w:t>
            </w:r>
          </w:p>
          <w:p w14:paraId="71C633F0" w14:textId="563BB2C4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t xml:space="preserve">asks a follow-up that </w:t>
            </w:r>
            <w:r>
              <w:rPr>
                <w:b/>
                <w:bCs/>
              </w:rPr>
              <w:t>references a specific detail</w:t>
            </w:r>
            <w:r>
              <w:t xml:space="preserve"> of what the student said or did (“you started with 7 tens</w:t>
            </w:r>
            <w:r w:rsidR="002F72C1">
              <w:t>,</w:t>
            </w:r>
            <w:r>
              <w:t xml:space="preserve"> then what?”, “tell me why you did four 15s here”)</w:t>
            </w:r>
          </w:p>
          <w:p w14:paraId="5BC37E2A" w14:textId="6394B716" w:rsidR="00CD676A" w:rsidRDefault="002F72C1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rPr>
                <w:b/>
                <w:bCs/>
              </w:rPr>
              <w:t>otherwise positions the student</w:t>
            </w:r>
            <w:r>
              <w:t xml:space="preserve"> as a competent mathematical thinker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CBF463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 w:rsidRPr="002F72C1">
              <w:t>names</w:t>
            </w:r>
            <w:r>
              <w:t xml:space="preserve"> the student but doesn’t take up what they said</w:t>
            </w:r>
          </w:p>
          <w:p w14:paraId="2C6B5FB8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t xml:space="preserve">offers </w:t>
            </w:r>
            <w:r w:rsidRPr="002F72C1">
              <w:t>generic praise</w:t>
            </w:r>
            <w:r>
              <w:t xml:space="preserve"> with no specific math detail (“Nice job.” “Good.”)</w:t>
            </w:r>
          </w:p>
          <w:p w14:paraId="2E43E2F2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t xml:space="preserve">only </w:t>
            </w:r>
            <w:r w:rsidRPr="002F72C1">
              <w:t>evaluates correctness</w:t>
            </w:r>
            <w:r>
              <w:t xml:space="preserve"> and moves on (“Right.” “12 divided by 4, yes. You okay?”)</w:t>
            </w:r>
          </w:p>
          <w:p w14:paraId="7D66343A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>
              <w:t xml:space="preserve">asks a </w:t>
            </w:r>
            <w:r w:rsidRPr="002F72C1">
              <w:t>clarifying, computational, or genera</w:t>
            </w:r>
            <w:r>
              <w:rPr>
                <w:b/>
                <w:bCs/>
              </w:rPr>
              <w:t>l</w:t>
            </w:r>
            <w:r>
              <w:t xml:space="preserve"> question that doesn’t reference a specific detail (“What do you mean by converge?”, “How did you get 5?”, “What do you notice?”)</w:t>
            </w:r>
          </w:p>
          <w:p w14:paraId="54EE9EDD" w14:textId="77777777" w:rsidR="00CD676A" w:rsidRDefault="00000000">
            <w:pPr>
              <w:pStyle w:val="ListParagraph"/>
              <w:numPr>
                <w:ilvl w:val="0"/>
                <w:numId w:val="3"/>
              </w:numPr>
              <w:spacing w:after="50"/>
            </w:pPr>
            <w:r w:rsidRPr="002F72C1">
              <w:t>corrects</w:t>
            </w:r>
            <w:r>
              <w:t xml:space="preserve"> without uplifting anything productive</w:t>
            </w:r>
          </w:p>
        </w:tc>
      </w:tr>
    </w:tbl>
    <w:p w14:paraId="09CE40B7" w14:textId="421DC5BC" w:rsidR="00CD676A" w:rsidRDefault="00000000">
      <w:pPr>
        <w:spacing w:before="120"/>
      </w:pPr>
      <w:r>
        <w:rPr>
          <w:b/>
          <w:bCs/>
        </w:rPr>
        <w:t xml:space="preserve">Useful tell: </w:t>
      </w:r>
      <w:r>
        <w:t xml:space="preserve">a follow-up opening with </w:t>
      </w:r>
      <w:r>
        <w:rPr>
          <w:i/>
          <w:iCs/>
        </w:rPr>
        <w:t xml:space="preserve">“tell me </w:t>
      </w:r>
      <w:r w:rsidR="002F72C1">
        <w:rPr>
          <w:i/>
          <w:iCs/>
        </w:rPr>
        <w:t xml:space="preserve">why </w:t>
      </w:r>
      <w:r>
        <w:rPr>
          <w:i/>
          <w:iCs/>
        </w:rPr>
        <w:t>/ tell us</w:t>
      </w:r>
      <w:r w:rsidR="002F72C1">
        <w:rPr>
          <w:i/>
          <w:iCs/>
        </w:rPr>
        <w:t xml:space="preserve"> how</w:t>
      </w:r>
      <w:r>
        <w:rPr>
          <w:i/>
          <w:iCs/>
        </w:rPr>
        <w:t>”</w:t>
      </w:r>
      <w:r>
        <w:t xml:space="preserve"> is</w:t>
      </w:r>
      <w:r w:rsidR="002F72C1">
        <w:t xml:space="preserve"> usually </w:t>
      </w:r>
      <w:r>
        <w:t>uptake</w:t>
      </w:r>
      <w:r w:rsidR="002F72C1">
        <w:t xml:space="preserve">. </w:t>
      </w:r>
    </w:p>
    <w:p w14:paraId="489559D0" w14:textId="7B93C3DB" w:rsidR="00CD676A" w:rsidRDefault="00000000">
      <w:pPr>
        <w:pStyle w:val="Heading1"/>
      </w:pPr>
      <w:r>
        <w:lastRenderedPageBreak/>
        <w:t>Check 3 · MATH</w:t>
      </w:r>
      <w:r w:rsidR="002F72C1">
        <w:t>:</w:t>
      </w:r>
      <w:r>
        <w:t xml:space="preserve"> Is it a mathematical idea? (Substance)</w:t>
      </w:r>
    </w:p>
    <w:p w14:paraId="24A35648" w14:textId="443CF543" w:rsidR="00CD676A" w:rsidRDefault="00000000">
      <w:pPr>
        <w:spacing w:after="120"/>
      </w:pPr>
      <w:r>
        <w:t xml:space="preserve">A contribution is substantive when the student </w:t>
      </w:r>
      <w:r>
        <w:rPr>
          <w:b/>
          <w:bCs/>
        </w:rPr>
        <w:t>explains the details of their idea, or engages with the details of a peer’s idea</w:t>
      </w:r>
      <w:r w:rsidR="002F72C1">
        <w:t>,</w:t>
      </w:r>
      <w:r>
        <w:t xml:space="preserve"> making the reasoning, not just the answer, explicit. The line is </w:t>
      </w:r>
      <w:r>
        <w:rPr>
          <w:i/>
          <w:iCs/>
        </w:rPr>
        <w:t>elaborated reasoning vs. a bare answer or move</w:t>
      </w:r>
      <w:r>
        <w:t>, not idea-vs-procedure.</w:t>
      </w:r>
    </w:p>
    <w:p w14:paraId="2931DA34" w14:textId="1623ACD8" w:rsidR="00CD676A" w:rsidRDefault="00000000">
      <w:pPr>
        <w:spacing w:after="120"/>
      </w:pPr>
      <w:r>
        <w:t xml:space="preserve">An </w:t>
      </w:r>
      <w:r>
        <w:rPr>
          <w:b/>
          <w:bCs/>
        </w:rPr>
        <w:t>explained procedure counts</w:t>
      </w:r>
      <w:r>
        <w:t xml:space="preserve">: a student who decomposes 15 into 10 and 5 to justify a step, or who explains </w:t>
      </w:r>
      <w:r>
        <w:rPr>
          <w:i/>
          <w:iCs/>
        </w:rPr>
        <w:t>why</w:t>
      </w:r>
      <w:r>
        <w:t xml:space="preserve"> they counted by tens, is being substantive even though the content is procedural. Only a </w:t>
      </w:r>
      <w:r>
        <w:rPr>
          <w:i/>
          <w:iCs/>
        </w:rPr>
        <w:t>bare or unexplained</w:t>
      </w:r>
      <w:r>
        <w:t xml:space="preserve"> move is out. Concretely, the contribution should be a strategy, explanation, justification, generalization, or connection</w:t>
      </w:r>
      <w:r w:rsidR="002F72C1">
        <w:t>. T</w:t>
      </w:r>
      <w:r>
        <w:t xml:space="preserve">he MQI categories below give </w:t>
      </w:r>
      <w:r w:rsidR="002F72C1">
        <w:t>more</w:t>
      </w:r>
      <w:r>
        <w:t xml:space="preserve"> detail.</w:t>
      </w:r>
    </w:p>
    <w:p w14:paraId="788CD2C1" w14:textId="77777777" w:rsidR="00CD676A" w:rsidRDefault="00000000">
      <w:pPr>
        <w:pStyle w:val="Heading2"/>
      </w:pPr>
      <w:r>
        <w:t>Student explanations</w:t>
      </w:r>
    </w:p>
    <w:p w14:paraId="4D7E3C76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explains </w:t>
      </w:r>
      <w:r w:rsidRPr="002F72C1">
        <w:rPr>
          <w:u w:val="single"/>
        </w:rPr>
        <w:t>why</w:t>
      </w:r>
      <w:r>
        <w:t xml:space="preserve"> a procedure works</w:t>
      </w:r>
    </w:p>
    <w:p w14:paraId="7EE24890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explains a procedure by attending to the </w:t>
      </w:r>
      <w:r w:rsidRPr="002F72C1">
        <w:rPr>
          <w:u w:val="single"/>
        </w:rPr>
        <w:t>meaning</w:t>
      </w:r>
      <w:r>
        <w:t xml:space="preserve"> of the steps, not just listing them</w:t>
      </w:r>
    </w:p>
    <w:p w14:paraId="4A06CA60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explains what an answer </w:t>
      </w:r>
      <w:r w:rsidRPr="002F72C1">
        <w:rPr>
          <w:u w:val="single"/>
        </w:rPr>
        <w:t>means</w:t>
      </w:r>
    </w:p>
    <w:p w14:paraId="018EADB4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>explains why one solution method is suitable or better than another</w:t>
      </w:r>
    </w:p>
    <w:p w14:paraId="59AA8A49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>explains an answer using estimation or number-sense reasoning</w:t>
      </w:r>
    </w:p>
    <w:p w14:paraId="7E87FFB0" w14:textId="77777777" w:rsidR="00CD676A" w:rsidRDefault="00000000">
      <w:pPr>
        <w:pStyle w:val="Heading2"/>
      </w:pPr>
      <w:r>
        <w:t>Student questions &amp; mathematical reasoning</w:t>
      </w:r>
    </w:p>
    <w:p w14:paraId="42690131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proposes a </w:t>
      </w:r>
      <w:r w:rsidRPr="002F72C1">
        <w:rPr>
          <w:u w:val="single"/>
        </w:rPr>
        <w:t>strategy</w:t>
      </w:r>
      <w:r>
        <w:t xml:space="preserve"> for solving a problem</w:t>
      </w:r>
    </w:p>
    <w:p w14:paraId="515F9130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notices and articulates a </w:t>
      </w:r>
      <w:r w:rsidRPr="002F72C1">
        <w:rPr>
          <w:u w:val="single"/>
        </w:rPr>
        <w:t>key feature</w:t>
      </w:r>
      <w:r>
        <w:t xml:space="preserve"> of a problem or idea</w:t>
      </w:r>
    </w:p>
    <w:p w14:paraId="5A51B6DA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offers a </w:t>
      </w:r>
      <w:r w:rsidRPr="00B1781B">
        <w:rPr>
          <w:u w:val="single"/>
        </w:rPr>
        <w:t>counter-claim</w:t>
      </w:r>
      <w:r>
        <w:t xml:space="preserve"> to a proposed statement (from a peer, the teacher, or a text)</w:t>
      </w:r>
    </w:p>
    <w:p w14:paraId="0BE0AFED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asks a mathematically motivated </w:t>
      </w:r>
      <w:r w:rsidRPr="002F72C1">
        <w:rPr>
          <w:u w:val="single"/>
        </w:rPr>
        <w:t>question</w:t>
      </w:r>
      <w:r>
        <w:t xml:space="preserve"> requesting explanation (e.g., “Why does this rule work?”)</w:t>
      </w:r>
    </w:p>
    <w:p w14:paraId="45C9CBB3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makes a </w:t>
      </w:r>
      <w:r w:rsidRPr="002F72C1">
        <w:rPr>
          <w:u w:val="single"/>
        </w:rPr>
        <w:t>conjecture</w:t>
      </w:r>
      <w:r>
        <w:t xml:space="preserve"> (e.g., “I don’t think you can make a triangle with two obtuse angles.”)</w:t>
      </w:r>
    </w:p>
    <w:p w14:paraId="69985922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forms a </w:t>
      </w:r>
      <w:r w:rsidRPr="002F72C1">
        <w:rPr>
          <w:u w:val="single"/>
        </w:rPr>
        <w:t>conclusion from a pattern</w:t>
      </w:r>
      <w:r>
        <w:t xml:space="preserve"> or other evidence</w:t>
      </w:r>
    </w:p>
    <w:p w14:paraId="14A055A8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reasons about a </w:t>
      </w:r>
      <w:r w:rsidRPr="002F72C1">
        <w:rPr>
          <w:u w:val="single"/>
        </w:rPr>
        <w:t>hypothetical or general case</w:t>
      </w:r>
    </w:p>
    <w:p w14:paraId="6602BB83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makes a </w:t>
      </w:r>
      <w:r w:rsidRPr="002F72C1">
        <w:rPr>
          <w:u w:val="single"/>
        </w:rPr>
        <w:t>connection</w:t>
      </w:r>
      <w:r>
        <w:t xml:space="preserve"> across representations, concepts, or mathematical areas</w:t>
      </w:r>
    </w:p>
    <w:p w14:paraId="11E0743F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comments on the </w:t>
      </w:r>
      <w:r w:rsidRPr="002F72C1">
        <w:rPr>
          <w:u w:val="single"/>
        </w:rPr>
        <w:t>mathematics</w:t>
      </w:r>
      <w:r>
        <w:t xml:space="preserve"> of another student’s contribution (beyond “I did it differently” or simply agreeing)</w:t>
      </w:r>
    </w:p>
    <w:p w14:paraId="6AD85EB0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uses </w:t>
      </w:r>
      <w:r w:rsidRPr="002F72C1">
        <w:rPr>
          <w:u w:val="single"/>
        </w:rPr>
        <w:t>vocabulary or a tool</w:t>
      </w:r>
      <w:r>
        <w:t xml:space="preserve"> (ruler, manipulatives, protractor, calculator) in a meaningful way</w:t>
      </w:r>
    </w:p>
    <w:p w14:paraId="09B582EC" w14:textId="77777777" w:rsidR="00CD676A" w:rsidRDefault="00000000">
      <w:pPr>
        <w:pStyle w:val="Heading2"/>
      </w:pPr>
      <w:r>
        <w:t>Count as NO if the teacher is only highlighting</w:t>
      </w:r>
    </w:p>
    <w:p w14:paraId="136C4A50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a </w:t>
      </w:r>
      <w:r>
        <w:rPr>
          <w:b/>
          <w:bCs/>
        </w:rPr>
        <w:t>final answer</w:t>
      </w:r>
      <w:r>
        <w:t xml:space="preserve"> (“She said it’s 4.”)</w:t>
      </w:r>
    </w:p>
    <w:p w14:paraId="3C6BA9D7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a </w:t>
      </w:r>
      <w:r>
        <w:rPr>
          <w:b/>
          <w:bCs/>
        </w:rPr>
        <w:t>bare operation or computational step</w:t>
      </w:r>
      <w:r>
        <w:t xml:space="preserve"> (“He multiplied by 3.”)</w:t>
      </w:r>
    </w:p>
    <w:p w14:paraId="095F8197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a </w:t>
      </w:r>
      <w:r>
        <w:rPr>
          <w:b/>
          <w:bCs/>
        </w:rPr>
        <w:t>procedure recited as steps</w:t>
      </w:r>
      <w:r>
        <w:t xml:space="preserve"> without the reasoning behind them</w:t>
      </w:r>
    </w:p>
    <w:p w14:paraId="5036575B" w14:textId="77777777" w:rsidR="00CD676A" w:rsidRDefault="00000000">
      <w:pPr>
        <w:spacing w:before="120"/>
      </w:pPr>
      <w:r>
        <w:rPr>
          <w:b/>
          <w:bCs/>
        </w:rPr>
        <w:t xml:space="preserve">Quick test (procedure vs. strategy): </w:t>
      </w:r>
      <w:r>
        <w:t xml:space="preserve">is the focus on </w:t>
      </w:r>
      <w:r>
        <w:rPr>
          <w:i/>
          <w:iCs/>
        </w:rPr>
        <w:t>accurately applying a known process</w:t>
      </w:r>
      <w:r>
        <w:t xml:space="preserve"> (procedure → likely 0), or on </w:t>
      </w:r>
      <w:r>
        <w:rPr>
          <w:i/>
          <w:iCs/>
        </w:rPr>
        <w:t>explaining and justifying choices</w:t>
      </w:r>
      <w:r>
        <w:t xml:space="preserve"> (strategy → likely 1)? See Appendix B.</w:t>
      </w:r>
    </w:p>
    <w:p w14:paraId="4FC21B1E" w14:textId="77777777" w:rsidR="00CD676A" w:rsidRDefault="00000000">
      <w:pPr>
        <w:pStyle w:val="Heading1"/>
      </w:pPr>
      <w:r>
        <w:t>Worked examples</w:t>
      </w:r>
    </w:p>
    <w:p w14:paraId="64973EAA" w14:textId="523182A9" w:rsidR="00CD676A" w:rsidRDefault="00000000">
      <w:pPr>
        <w:spacing w:after="120"/>
      </w:pPr>
      <w:r>
        <w:t xml:space="preserve">Examples are </w:t>
      </w:r>
      <w:r w:rsidR="009F7FF1">
        <w:t>below</w:t>
      </w:r>
      <w:r>
        <w:t>. Each is tagged with the check that decides it; the non-examples show both failure buckets</w:t>
      </w:r>
      <w:r w:rsidR="00B1781B">
        <w:t>:</w:t>
      </w:r>
      <w:r>
        <w:t xml:space="preserve"> </w:t>
      </w:r>
      <w:r>
        <w:rPr>
          <w:i/>
          <w:iCs/>
        </w:rPr>
        <w:t>no attribution</w:t>
      </w:r>
      <w:r>
        <w:t xml:space="preserve"> and </w:t>
      </w:r>
      <w:r>
        <w:rPr>
          <w:i/>
          <w:iCs/>
        </w:rPr>
        <w:t>no math idea</w:t>
      </w:r>
      <w: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0"/>
        <w:gridCol w:w="940"/>
        <w:gridCol w:w="4440"/>
      </w:tblGrid>
      <w:tr w:rsidR="00CD676A" w14:paraId="0B1A39EA" w14:textId="77777777">
        <w:trPr>
          <w:tblHeader/>
        </w:trPr>
        <w:tc>
          <w:tcPr>
            <w:tcW w:w="39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4BE7C3" w14:textId="77777777" w:rsidR="00CD676A" w:rsidRDefault="00000000">
            <w:r>
              <w:rPr>
                <w:b/>
                <w:bCs/>
              </w:rPr>
              <w:lastRenderedPageBreak/>
              <w:t>Teacher utterance</w:t>
            </w:r>
          </w:p>
        </w:tc>
        <w:tc>
          <w:tcPr>
            <w:tcW w:w="9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06DBD1" w14:textId="77777777" w:rsidR="00CD676A" w:rsidRDefault="00000000">
            <w:pPr>
              <w:jc w:val="center"/>
            </w:pPr>
            <w:r>
              <w:rPr>
                <w:b/>
                <w:bCs/>
              </w:rPr>
              <w:t>Code</w:t>
            </w:r>
          </w:p>
        </w:tc>
        <w:tc>
          <w:tcPr>
            <w:tcW w:w="44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2B8856" w14:textId="59496812" w:rsidR="00CD676A" w:rsidRDefault="00000000">
            <w:r>
              <w:rPr>
                <w:b/>
                <w:bCs/>
              </w:rPr>
              <w:t>Why</w:t>
            </w:r>
            <w:r w:rsidR="00B1781B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which check decides it</w:t>
            </w:r>
          </w:p>
        </w:tc>
      </w:tr>
      <w:tr w:rsidR="00CD676A" w14:paraId="10AE38A1" w14:textId="77777777">
        <w:tc>
          <w:tcPr>
            <w:tcW w:w="39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2C846D" w14:textId="60B4FFAC" w:rsidR="00CD676A" w:rsidRDefault="001D7CE3">
            <w:r w:rsidRPr="001D7CE3">
              <w:t>“I like that. Because now you’re drawing a connection between every fraction having a decimal, and every decimal having a fraction.”</w:t>
            </w:r>
          </w:p>
        </w:tc>
        <w:tc>
          <w:tcPr>
            <w:tcW w:w="9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DEE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E108D7" w14:textId="77777777" w:rsidR="00CD676A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4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1CDF46" w14:textId="4033134F" w:rsidR="00CD676A" w:rsidRDefault="001D7CE3">
            <w:r w:rsidRPr="001D7CE3">
              <w:t>“You” references the student (</w:t>
            </w:r>
            <w:r>
              <w:t>C</w:t>
            </w:r>
            <w:r w:rsidRPr="001D7CE3">
              <w:t>1); teacher names why it’s valuable (</w:t>
            </w:r>
            <w:r>
              <w:t>C</w:t>
            </w:r>
            <w:r w:rsidRPr="001D7CE3">
              <w:t>2); a connection across representations (</w:t>
            </w:r>
            <w:r>
              <w:t>C</w:t>
            </w:r>
            <w:r w:rsidRPr="001D7CE3">
              <w:t>3).</w:t>
            </w:r>
          </w:p>
        </w:tc>
      </w:tr>
      <w:tr w:rsidR="00CD676A" w14:paraId="2804076D" w14:textId="77777777">
        <w:tc>
          <w:tcPr>
            <w:tcW w:w="39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BF34CF" w14:textId="0C35DD2B" w:rsidR="00CD676A" w:rsidRDefault="00000000">
            <w:r>
              <w:t>“</w:t>
            </w:r>
            <w:r w:rsidR="00B1781B" w:rsidRPr="00B1781B">
              <w:t>Shivangi said D because it's the only one that's discrete.</w:t>
            </w:r>
          </w:p>
        </w:tc>
        <w:tc>
          <w:tcPr>
            <w:tcW w:w="9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DEE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59A524" w14:textId="77777777" w:rsidR="00CD676A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4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213BE8" w14:textId="334EFE3C" w:rsidR="001D7CE3" w:rsidRDefault="001D7CE3">
            <w:r w:rsidRPr="001D7CE3">
              <w:t>Names Shivangi (</w:t>
            </w:r>
            <w:r>
              <w:t>C</w:t>
            </w:r>
            <w:r w:rsidRPr="001D7CE3">
              <w:t>1); holds her reasoning up for the class (</w:t>
            </w:r>
            <w:r>
              <w:t>C</w:t>
            </w:r>
            <w:r w:rsidRPr="001D7CE3">
              <w:t xml:space="preserve">2); the reasoning </w:t>
            </w:r>
            <w:r>
              <w:t>(</w:t>
            </w:r>
            <w:r w:rsidRPr="001D7CE3">
              <w:t>why D, because it’s discrete</w:t>
            </w:r>
            <w:r>
              <w:t>)</w:t>
            </w:r>
            <w:r w:rsidRPr="001D7CE3">
              <w:t xml:space="preserve"> is a justification (</w:t>
            </w:r>
            <w:r>
              <w:t>C</w:t>
            </w:r>
            <w:r w:rsidRPr="001D7CE3">
              <w:t>3).</w:t>
            </w:r>
          </w:p>
        </w:tc>
      </w:tr>
      <w:tr w:rsidR="00CD676A" w14:paraId="108A8DF7" w14:textId="77777777">
        <w:tc>
          <w:tcPr>
            <w:tcW w:w="39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9DB9C3" w14:textId="0587BFDF" w:rsidR="00CD676A" w:rsidRDefault="00000000">
            <w:r>
              <w:t>“</w:t>
            </w:r>
            <w:r w:rsidR="00E1448A" w:rsidRPr="00E1448A">
              <w:t>Can you tell us a little bit about why you would use linear instead of arithmetic?</w:t>
            </w:r>
            <w:r w:rsidR="00E1448A">
              <w:t>”</w:t>
            </w:r>
          </w:p>
        </w:tc>
        <w:tc>
          <w:tcPr>
            <w:tcW w:w="9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DEE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EC4D85" w14:textId="77777777" w:rsidR="00CD676A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4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66E5CC" w14:textId="3E768E83" w:rsidR="00CD676A" w:rsidRDefault="00000000">
            <w:r>
              <w:t>Refers to</w:t>
            </w:r>
            <w:r w:rsidR="00E1448A">
              <w:t xml:space="preserve"> student with “you”</w:t>
            </w:r>
            <w:r w:rsidR="001D7CE3">
              <w:t xml:space="preserve"> (C1)</w:t>
            </w:r>
            <w:r>
              <w:t xml:space="preserve">; revoices one </w:t>
            </w:r>
            <w:r w:rsidR="00E1448A">
              <w:t>decision made by the student</w:t>
            </w:r>
            <w:r w:rsidR="001D7CE3">
              <w:t xml:space="preserve"> (C2)</w:t>
            </w:r>
            <w:r w:rsidR="00E1448A">
              <w:t>, and</w:t>
            </w:r>
            <w:r>
              <w:t xml:space="preserve"> comparing approaches is the substance</w:t>
            </w:r>
            <w:r w:rsidR="001D7CE3">
              <w:t xml:space="preserve"> (C3)</w:t>
            </w:r>
            <w:r>
              <w:t>.</w:t>
            </w:r>
          </w:p>
        </w:tc>
      </w:tr>
      <w:tr w:rsidR="00CD676A" w14:paraId="18DBF44A" w14:textId="77777777">
        <w:tc>
          <w:tcPr>
            <w:tcW w:w="39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7501D1" w14:textId="77777777" w:rsidR="00CD676A" w:rsidRDefault="00000000">
            <w:r>
              <w:t>“If you pick basketball, he said basketball improved the most because it’s the highest overall points… His reasoning is correct.”</w:t>
            </w:r>
          </w:p>
        </w:tc>
        <w:tc>
          <w:tcPr>
            <w:tcW w:w="9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DEE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D37488" w14:textId="77777777" w:rsidR="00CD676A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4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2A7BCC" w14:textId="1EBD3BA7" w:rsidR="00CD676A" w:rsidRDefault="00000000">
            <w:r>
              <w:t>Refers to the student</w:t>
            </w:r>
            <w:r w:rsidR="001D7CE3">
              <w:t xml:space="preserve"> “you” (C1)</w:t>
            </w:r>
            <w:r>
              <w:t>; uptakes the reasoning</w:t>
            </w:r>
            <w:r w:rsidR="001D7CE3">
              <w:t xml:space="preserve"> (C2)</w:t>
            </w:r>
            <w:r>
              <w:t>; the justification (“because…”) is substance</w:t>
            </w:r>
            <w:r w:rsidR="00B1781B">
              <w:t xml:space="preserve">, </w:t>
            </w:r>
            <w:r>
              <w:t>even on a contested answer (C</w:t>
            </w:r>
            <w:r w:rsidR="005448B3">
              <w:t>3</w:t>
            </w:r>
            <w:r>
              <w:t>).</w:t>
            </w:r>
          </w:p>
        </w:tc>
      </w:tr>
      <w:tr w:rsidR="00CD676A" w14:paraId="3E8BF9AF" w14:textId="77777777">
        <w:tc>
          <w:tcPr>
            <w:tcW w:w="39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3770AE" w14:textId="77777777" w:rsidR="00CD676A" w:rsidRDefault="00000000">
            <w:r>
              <w:t>“Ooh, I like that you said adds over time. That’s good. Darius.”</w:t>
            </w:r>
          </w:p>
        </w:tc>
        <w:tc>
          <w:tcPr>
            <w:tcW w:w="9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DEE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EAAD15" w14:textId="77777777" w:rsidR="00CD676A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4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FEF1B8" w14:textId="57B1E59C" w:rsidR="00CD676A" w:rsidRDefault="00000000">
            <w:r>
              <w:t xml:space="preserve">Brief, but refers </w:t>
            </w:r>
            <w:r w:rsidR="005531AC">
              <w:t xml:space="preserve">to </w:t>
            </w:r>
            <w:r>
              <w:t>Darius</w:t>
            </w:r>
            <w:r w:rsidR="005531AC">
              <w:t xml:space="preserve"> (C1)</w:t>
            </w:r>
            <w:r>
              <w:t>; calls positive attention to the contribution</w:t>
            </w:r>
            <w:r w:rsidR="005531AC">
              <w:t xml:space="preserve"> (C2)</w:t>
            </w:r>
            <w:r>
              <w:t>; “adds over time” names a key feature/pattern</w:t>
            </w:r>
            <w:r w:rsidR="005531AC">
              <w:t xml:space="preserve"> (C3)</w:t>
            </w:r>
          </w:p>
        </w:tc>
      </w:tr>
      <w:tr w:rsidR="00CD676A" w14:paraId="77708F91" w14:textId="77777777">
        <w:tc>
          <w:tcPr>
            <w:tcW w:w="39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F68040" w14:textId="77777777" w:rsidR="00CD676A" w:rsidRDefault="00000000">
            <w:r>
              <w:t>“So how did you get 5?”</w:t>
            </w:r>
          </w:p>
        </w:tc>
        <w:tc>
          <w:tcPr>
            <w:tcW w:w="9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DBD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A2CA46" w14:textId="77777777" w:rsidR="00CD676A" w:rsidRDefault="00000000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4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36D404" w14:textId="5898D3AC" w:rsidR="00CD676A" w:rsidRDefault="00000000">
            <w:r>
              <w:t>Refers (“you”), but checks computation</w:t>
            </w:r>
            <w:r w:rsidR="00E1448A">
              <w:t xml:space="preserve">, </w:t>
            </w:r>
            <w:r>
              <w:t>fails Checks 3: no idea is taken up.</w:t>
            </w:r>
          </w:p>
        </w:tc>
      </w:tr>
      <w:tr w:rsidR="00CD676A" w14:paraId="5D95737B" w14:textId="77777777">
        <w:tc>
          <w:tcPr>
            <w:tcW w:w="39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40A004" w14:textId="77777777" w:rsidR="00CD676A" w:rsidRDefault="00000000">
            <w:r>
              <w:t>“They both converge at X equals 5. What do you mean by converge?”</w:t>
            </w:r>
          </w:p>
        </w:tc>
        <w:tc>
          <w:tcPr>
            <w:tcW w:w="9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DBD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479A56" w14:textId="77777777" w:rsidR="00CD676A" w:rsidRDefault="00000000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4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F8A9C4" w14:textId="051907A8" w:rsidR="00CD676A" w:rsidRDefault="00000000">
            <w:r>
              <w:t xml:space="preserve">Clarifies vocabulary; no idea elevated (fails Check </w:t>
            </w:r>
            <w:r w:rsidR="00E1448A">
              <w:t>3</w:t>
            </w:r>
            <w:r>
              <w:t>).</w:t>
            </w:r>
          </w:p>
        </w:tc>
      </w:tr>
      <w:tr w:rsidR="00CD676A" w14:paraId="5412E916" w14:textId="77777777">
        <w:tc>
          <w:tcPr>
            <w:tcW w:w="39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7C2720" w14:textId="77777777" w:rsidR="00CD676A" w:rsidRDefault="00000000">
            <w:r>
              <w:t>“Because the blue line is curved. Excellent.”</w:t>
            </w:r>
          </w:p>
        </w:tc>
        <w:tc>
          <w:tcPr>
            <w:tcW w:w="9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DBD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F5D09D" w14:textId="77777777" w:rsidR="00CD676A" w:rsidRDefault="00000000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4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50F6A6" w14:textId="4CDF7587" w:rsidR="00CD676A" w:rsidRDefault="00000000">
            <w:r>
              <w:t>Mathematical content, but no reference to a specific student (fails Check 1</w:t>
            </w:r>
            <w:r w:rsidR="00E1448A">
              <w:t xml:space="preserve"> of</w:t>
            </w:r>
            <w:r>
              <w:t xml:space="preserve"> “no attribution”).</w:t>
            </w:r>
          </w:p>
        </w:tc>
      </w:tr>
      <w:tr w:rsidR="00CD676A" w14:paraId="7DA2909B" w14:textId="77777777">
        <w:tc>
          <w:tcPr>
            <w:tcW w:w="39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84E654" w14:textId="63A06076" w:rsidR="00CD676A" w:rsidRDefault="003770B8">
            <w:r w:rsidRPr="003770B8">
              <w:t>“So you did 21 times 3 and you got 63 for that top rectangle. Okay.”</w:t>
            </w:r>
          </w:p>
        </w:tc>
        <w:tc>
          <w:tcPr>
            <w:tcW w:w="9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DBD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852698" w14:textId="77777777" w:rsidR="00CD676A" w:rsidRDefault="00000000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4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265548" w14:textId="2CE29410" w:rsidR="00CD676A" w:rsidRDefault="003770B8">
            <w:r w:rsidRPr="003770B8">
              <w:t>Names “you” and restates (</w:t>
            </w:r>
            <w:r>
              <w:t>C</w:t>
            </w:r>
            <w:r w:rsidRPr="003770B8">
              <w:t xml:space="preserve">1), but fails </w:t>
            </w:r>
            <w:r>
              <w:t>C</w:t>
            </w:r>
            <w:r w:rsidRPr="003770B8">
              <w:t>3: a procedure/computation with no reasoning.</w:t>
            </w:r>
          </w:p>
        </w:tc>
      </w:tr>
    </w:tbl>
    <w:p w14:paraId="60928843" w14:textId="00E29209" w:rsidR="00CD676A" w:rsidRDefault="00000000">
      <w:pPr>
        <w:pStyle w:val="Heading1"/>
      </w:pPr>
      <w:r>
        <w:t>Appendix</w:t>
      </w:r>
      <w:r w:rsidR="00B23F6F">
        <w:t>:</w:t>
      </w:r>
      <w:r>
        <w:t xml:space="preserve"> Edge cases</w:t>
      </w:r>
    </w:p>
    <w:p w14:paraId="70825937" w14:textId="77777777" w:rsidR="00CD676A" w:rsidRDefault="00000000">
      <w:pPr>
        <w:pStyle w:val="Heading2"/>
      </w:pPr>
      <w:r>
        <w:t>A. Probing vs. clarifying follow-up questions</w:t>
      </w:r>
    </w:p>
    <w:p w14:paraId="53A57BE1" w14:textId="6451C629" w:rsidR="00CD676A" w:rsidRDefault="00000000">
      <w:pPr>
        <w:spacing w:after="120"/>
      </w:pPr>
      <w:r>
        <w:t xml:space="preserve">A follow-up is uptake only when it </w:t>
      </w:r>
      <w:r>
        <w:rPr>
          <w:b/>
          <w:bCs/>
        </w:rPr>
        <w:t>references a specific mathematical detail</w:t>
      </w:r>
      <w:r>
        <w:t xml:space="preserve"> of what the student said or did</w:t>
      </w:r>
      <w:r w:rsidR="00B23F6F">
        <w:t>,</w:t>
      </w:r>
      <w:r>
        <w:t xml:space="preserve"> not a general invitation or appeal. Because the </w:t>
      </w:r>
      <w:r w:rsidRPr="00B23F6F">
        <w:t>preceding student turn</w:t>
      </w:r>
      <w:r>
        <w:t xml:space="preserve"> is in your context window, </w:t>
      </w:r>
      <w:r w:rsidR="00B23F6F">
        <w:t>use it for</w:t>
      </w:r>
      <w:r>
        <w:t xml:space="preserve"> judgment: did substantive detail actually surface?</w:t>
      </w:r>
    </w:p>
    <w:p w14:paraId="0E8E4BF8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References a </w:t>
      </w:r>
      <w:r w:rsidRPr="00BC0FE5">
        <w:t>specific detail</w:t>
      </w:r>
      <w:r>
        <w:t xml:space="preserve"> and substantive reasoning surfaces → </w:t>
      </w:r>
      <w:r>
        <w:rPr>
          <w:b/>
          <w:bCs/>
        </w:rPr>
        <w:t>SIA</w:t>
      </w:r>
      <w:r>
        <w:t>.</w:t>
      </w:r>
    </w:p>
    <w:p w14:paraId="04052BC9" w14:textId="302C01B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A </w:t>
      </w:r>
      <w:r>
        <w:rPr>
          <w:b/>
          <w:bCs/>
        </w:rPr>
        <w:t>general invitation</w:t>
      </w:r>
      <w:r>
        <w:t xml:space="preserve"> (“What do you notice?”), a </w:t>
      </w:r>
      <w:r>
        <w:rPr>
          <w:b/>
          <w:bCs/>
        </w:rPr>
        <w:t>generic appeal</w:t>
      </w:r>
      <w:r>
        <w:t xml:space="preserve"> (“I don’t get you”), or a turn carrying only a </w:t>
      </w:r>
      <w:r>
        <w:rPr>
          <w:b/>
          <w:bCs/>
        </w:rPr>
        <w:t>bare answer</w:t>
      </w:r>
      <w:r>
        <w:t xml:space="preserve"> → </w:t>
      </w:r>
      <w:r>
        <w:rPr>
          <w:b/>
          <w:bCs/>
        </w:rPr>
        <w:t>not SIA</w:t>
      </w:r>
    </w:p>
    <w:p w14:paraId="556D6475" w14:textId="77777777" w:rsidR="00CD676A" w:rsidRDefault="00000000">
      <w:pPr>
        <w:spacing w:after="120"/>
      </w:pPr>
      <w:r>
        <w:rPr>
          <w:b/>
          <w:bCs/>
          <w:color w:val="1E6B2F"/>
        </w:rPr>
        <w:t xml:space="preserve">Takes up a specific detail (code 1): </w:t>
      </w:r>
    </w:p>
    <w:p w14:paraId="6A72739C" w14:textId="7CD411D9" w:rsidR="00CD676A" w:rsidRDefault="00000000">
      <w:pPr>
        <w:pStyle w:val="ListParagraph"/>
        <w:numPr>
          <w:ilvl w:val="0"/>
          <w:numId w:val="3"/>
        </w:numPr>
        <w:spacing w:after="60"/>
      </w:pPr>
      <w:r>
        <w:t>“Ah, so you want 5 plus 3n because that’s simplified, and it worked when you tried it. So tell me what you mean by simplified</w:t>
      </w:r>
      <w:r w:rsidR="00B23F6F">
        <w:t>,</w:t>
      </w:r>
      <w:r>
        <w:t xml:space="preserve"> did you start somewhere else?”</w:t>
      </w:r>
    </w:p>
    <w:p w14:paraId="43CA27CD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lastRenderedPageBreak/>
        <w:t>“Roberto, you say it’s the other way around. How do you know it’s the other way around?”</w:t>
      </w:r>
    </w:p>
    <w:p w14:paraId="3D65AE2D" w14:textId="77777777" w:rsidR="00CD676A" w:rsidRDefault="00000000">
      <w:pPr>
        <w:spacing w:after="120"/>
      </w:pPr>
      <w:r>
        <w:rPr>
          <w:b/>
          <w:bCs/>
          <w:color w:val="9B2C2C"/>
        </w:rPr>
        <w:t xml:space="preserve">No specific detail (code 0): </w:t>
      </w:r>
    </w:p>
    <w:p w14:paraId="00D7D1DD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>“They both converge at X equals 5. What do you mean by converge?”  (clarifies vocabulary)</w:t>
      </w:r>
    </w:p>
    <w:p w14:paraId="729AB2C5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>“So how did you get 5?”  (checks computation; no detail surfaces)</w:t>
      </w:r>
    </w:p>
    <w:p w14:paraId="33C92535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>“What do you notice?”  (general invitation)</w:t>
      </w:r>
    </w:p>
    <w:p w14:paraId="48FCD90D" w14:textId="77777777" w:rsidR="00CD676A" w:rsidRDefault="00000000">
      <w:pPr>
        <w:pStyle w:val="Heading2"/>
      </w:pPr>
      <w:r>
        <w:t>B. Procedure vs. strategy</w:t>
      </w:r>
    </w:p>
    <w:p w14:paraId="271F9906" w14:textId="77777777" w:rsidR="00CD676A" w:rsidRDefault="00000000">
      <w:pPr>
        <w:spacing w:after="120"/>
      </w:pPr>
      <w:r>
        <w:t xml:space="preserve">Procedures are the </w:t>
      </w:r>
      <w:r>
        <w:rPr>
          <w:i/>
          <w:iCs/>
        </w:rPr>
        <w:t>steps</w:t>
      </w:r>
      <w:r>
        <w:t xml:space="preserve">; strategies are the </w:t>
      </w:r>
      <w:r>
        <w:rPr>
          <w:i/>
          <w:iCs/>
        </w:rPr>
        <w:t>reasoning about which steps and why</w:t>
      </w:r>
      <w:r>
        <w:t>. Taking up a procedure is not SIA; taking up the reasoning behind it is.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D676A" w14:paraId="41B82C4D" w14:textId="77777777">
        <w:trPr>
          <w:tblHeader/>
        </w:trPr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3E31BB" w14:textId="77777777" w:rsidR="00CD676A" w:rsidRDefault="00000000">
            <w:r>
              <w:rPr>
                <w:b/>
                <w:bCs/>
                <w:color w:val="9B2C2C"/>
              </w:rPr>
              <w:t>Procedure — code 0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CE7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068F67" w14:textId="77777777" w:rsidR="00CD676A" w:rsidRDefault="00000000">
            <w:r>
              <w:rPr>
                <w:b/>
                <w:bCs/>
                <w:color w:val="1E6B2F"/>
              </w:rPr>
              <w:t>Strategy — code 1</w:t>
            </w:r>
          </w:p>
        </w:tc>
      </w:tr>
      <w:tr w:rsidR="00CD676A" w14:paraId="6DD4D150" w14:textId="77777777"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885432" w14:textId="77777777" w:rsidR="00CD676A" w:rsidRDefault="00000000">
            <w:pPr>
              <w:spacing w:after="30"/>
            </w:pPr>
            <w:r>
              <w:rPr>
                <w:b/>
                <w:bCs/>
              </w:rPr>
              <w:t xml:space="preserve">Student: </w:t>
            </w:r>
            <w:r>
              <w:t>“I did 21 times 3. I got 63.”</w:t>
            </w:r>
          </w:p>
          <w:p w14:paraId="7612F447" w14:textId="77777777" w:rsidR="00CD676A" w:rsidRDefault="00000000">
            <w:r>
              <w:rPr>
                <w:b/>
                <w:bCs/>
              </w:rPr>
              <w:t xml:space="preserve">Teacher: </w:t>
            </w:r>
            <w:r>
              <w:t>“So you did 21 times 3 and you got 63 for that top rectangle. Okay.”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323A22" w14:textId="77777777" w:rsidR="00CD676A" w:rsidRDefault="00000000">
            <w:pPr>
              <w:spacing w:after="30"/>
            </w:pPr>
            <w:r>
              <w:rPr>
                <w:b/>
                <w:bCs/>
              </w:rPr>
              <w:t xml:space="preserve">Student: </w:t>
            </w:r>
            <w:r>
              <w:t>“I had to change one half to two-fourths to make them equivalent… which is also 8 and one-fourth.”</w:t>
            </w:r>
          </w:p>
          <w:p w14:paraId="31ED0B3C" w14:textId="77777777" w:rsidR="00CD676A" w:rsidRDefault="00000000">
            <w:r>
              <w:rPr>
                <w:b/>
                <w:bCs/>
              </w:rPr>
              <w:t xml:space="preserve">Teacher: </w:t>
            </w:r>
            <w:r>
              <w:t>“I love it. So you were taking the parts that you knew and figuring out how you could turn them into that one whole.”</w:t>
            </w:r>
          </w:p>
        </w:tc>
      </w:tr>
    </w:tbl>
    <w:p w14:paraId="186EE612" w14:textId="77777777" w:rsidR="00CD676A" w:rsidRDefault="00000000">
      <w:pPr>
        <w:pStyle w:val="Heading2"/>
      </w:pPr>
      <w:r>
        <w:t>C. Incorrect or contested student answers</w:t>
      </w:r>
    </w:p>
    <w:p w14:paraId="717D0BB0" w14:textId="327503F3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Code </w:t>
      </w:r>
      <w:r>
        <w:rPr>
          <w:b/>
          <w:bCs/>
        </w:rPr>
        <w:t>1</w:t>
      </w:r>
      <w:r>
        <w:t xml:space="preserve"> only if the teacher highlights something </w:t>
      </w:r>
      <w:r w:rsidRPr="00225E8E">
        <w:t>mathematically productive</w:t>
      </w:r>
      <w:r>
        <w:t xml:space="preserve"> in the student’s thinkin</w:t>
      </w:r>
      <w:r w:rsidR="00225E8E">
        <w:t>g,</w:t>
      </w:r>
      <w:r>
        <w:t xml:space="preserve"> even when the answer is wrong or not the one the class settles on.</w:t>
      </w:r>
    </w:p>
    <w:p w14:paraId="65366642" w14:textId="77777777" w:rsidR="00CD676A" w:rsidRDefault="00000000">
      <w:pPr>
        <w:pStyle w:val="ListParagraph"/>
        <w:numPr>
          <w:ilvl w:val="0"/>
          <w:numId w:val="3"/>
        </w:numPr>
        <w:spacing w:after="60"/>
      </w:pPr>
      <w:r>
        <w:t xml:space="preserve">Code </w:t>
      </w:r>
      <w:r>
        <w:rPr>
          <w:b/>
          <w:bCs/>
        </w:rPr>
        <w:t>0</w:t>
      </w:r>
      <w:r>
        <w:t xml:space="preserve"> if the teacher briefly references the idea but moves quickly to correction without uplifting the thinking.</w:t>
      </w:r>
    </w:p>
    <w:p w14:paraId="72FDCD76" w14:textId="1B3E5BF3" w:rsidR="00CD676A" w:rsidRDefault="00000000">
      <w:pPr>
        <w:spacing w:before="80"/>
      </w:pPr>
      <w:r>
        <w:rPr>
          <w:b/>
          <w:bCs/>
        </w:rPr>
        <w:t xml:space="preserve">Example (code 1): </w:t>
      </w:r>
      <w:r>
        <w:t xml:space="preserve">“If you pick basketball, he said basketball improved the most because it’s the highest overall points… His reasoning is correct. I would not count him wrong for good reasoning.” Here the </w:t>
      </w:r>
      <w:r w:rsidR="00225E8E">
        <w:t>student</w:t>
      </w:r>
      <w:r>
        <w:t xml:space="preserve"> answer is contested, but the teacher attributes and uplifts the student’s justification.</w:t>
      </w:r>
    </w:p>
    <w:p w14:paraId="2AFB4D72" w14:textId="4109780E" w:rsidR="00CD676A" w:rsidRDefault="001F18A8">
      <w:pPr>
        <w:pStyle w:val="Heading2"/>
      </w:pPr>
      <w:r>
        <w:t>D. If you are unsure</w:t>
      </w:r>
    </w:p>
    <w:p w14:paraId="29915A9F" w14:textId="61920AFE" w:rsidR="00CD676A" w:rsidRDefault="00000000" w:rsidP="009F7FF1">
      <w:pPr>
        <w:spacing w:after="120"/>
      </w:pPr>
      <w:r>
        <w:t xml:space="preserve">Use the notes column to flag the case in one phrase, naming </w:t>
      </w:r>
      <w:r>
        <w:rPr>
          <w:i/>
          <w:iCs/>
        </w:rPr>
        <w:t>which check is ambiguous</w:t>
      </w:r>
      <w:r>
        <w:t xml:space="preserve"> (e.g., “C2? take-up or just evaluation”). This keeps disagreements </w:t>
      </w:r>
      <w:r w:rsidR="009E70C1">
        <w:t>easier to compare</w:t>
      </w:r>
      <w:r>
        <w:t xml:space="preserve"> across raters.</w:t>
      </w:r>
    </w:p>
    <w:sectPr w:rsidR="00CD676A">
      <w:footerReference w:type="default" r:id="rId7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00A4629" w14:textId="77777777" w:rsidR="004409F9" w:rsidRDefault="004409F9">
      <w:r>
        <w:separator/>
      </w:r>
    </w:p>
  </w:endnote>
  <w:endnote w:type="continuationSeparator" w:id="0">
    <w:p w14:paraId="3546B63C" w14:textId="77777777" w:rsidR="004409F9" w:rsidRDefault="0044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88DB05" w14:textId="77777777" w:rsidR="00CD676A" w:rsidRDefault="00000000">
    <w:pPr>
      <w:jc w:val="center"/>
    </w:pPr>
    <w:r>
      <w:rPr>
        <w:color w:val="888888"/>
        <w:sz w:val="16"/>
        <w:szCs w:val="16"/>
      </w:rPr>
      <w:t xml:space="preserve">SIA Coding Rubric · June 2026 ·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9F7FF1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8746186" w14:textId="77777777" w:rsidR="004409F9" w:rsidRDefault="004409F9">
      <w:r>
        <w:separator/>
      </w:r>
    </w:p>
  </w:footnote>
  <w:footnote w:type="continuationSeparator" w:id="0">
    <w:p w14:paraId="09AD04DE" w14:textId="77777777" w:rsidR="004409F9" w:rsidRDefault="00440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E1D53BE"/>
    <w:multiLevelType w:val="hybridMultilevel"/>
    <w:tmpl w:val="D110D5B8"/>
    <w:lvl w:ilvl="0" w:tplc="74F08DF6">
      <w:start w:val="1"/>
      <w:numFmt w:val="bullet"/>
      <w:lvlText w:val="●"/>
      <w:lvlJc w:val="left"/>
      <w:pPr>
        <w:ind w:left="720" w:hanging="360"/>
      </w:pPr>
    </w:lvl>
    <w:lvl w:ilvl="1" w:tplc="7FCE8E7E">
      <w:start w:val="1"/>
      <w:numFmt w:val="bullet"/>
      <w:lvlText w:val="○"/>
      <w:lvlJc w:val="left"/>
      <w:pPr>
        <w:ind w:left="1440" w:hanging="360"/>
      </w:pPr>
    </w:lvl>
    <w:lvl w:ilvl="2" w:tplc="22E8620A">
      <w:start w:val="1"/>
      <w:numFmt w:val="bullet"/>
      <w:lvlText w:val="■"/>
      <w:lvlJc w:val="left"/>
      <w:pPr>
        <w:ind w:left="2160" w:hanging="360"/>
      </w:pPr>
    </w:lvl>
    <w:lvl w:ilvl="3" w:tplc="9E0A6D2A">
      <w:start w:val="1"/>
      <w:numFmt w:val="bullet"/>
      <w:lvlText w:val="●"/>
      <w:lvlJc w:val="left"/>
      <w:pPr>
        <w:ind w:left="2880" w:hanging="360"/>
      </w:pPr>
    </w:lvl>
    <w:lvl w:ilvl="4" w:tplc="677442DE">
      <w:start w:val="1"/>
      <w:numFmt w:val="bullet"/>
      <w:lvlText w:val="○"/>
      <w:lvlJc w:val="left"/>
      <w:pPr>
        <w:ind w:left="3600" w:hanging="360"/>
      </w:pPr>
    </w:lvl>
    <w:lvl w:ilvl="5" w:tplc="A948990E">
      <w:start w:val="1"/>
      <w:numFmt w:val="bullet"/>
      <w:lvlText w:val="■"/>
      <w:lvlJc w:val="left"/>
      <w:pPr>
        <w:ind w:left="4320" w:hanging="360"/>
      </w:pPr>
    </w:lvl>
    <w:lvl w:ilvl="6" w:tplc="428EA8DC">
      <w:start w:val="1"/>
      <w:numFmt w:val="bullet"/>
      <w:lvlText w:val="●"/>
      <w:lvlJc w:val="left"/>
      <w:pPr>
        <w:ind w:left="5040" w:hanging="360"/>
      </w:pPr>
    </w:lvl>
    <w:lvl w:ilvl="7" w:tplc="9C609CE0">
      <w:start w:val="1"/>
      <w:numFmt w:val="bullet"/>
      <w:lvlText w:val="●"/>
      <w:lvlJc w:val="left"/>
      <w:pPr>
        <w:ind w:left="5760" w:hanging="360"/>
      </w:pPr>
    </w:lvl>
    <w:lvl w:ilvl="8" w:tplc="D30C0C6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31B1C97"/>
    <w:multiLevelType w:val="hybridMultilevel"/>
    <w:tmpl w:val="0324C96C"/>
    <w:lvl w:ilvl="0" w:tplc="C48604E0">
      <w:start w:val="1"/>
      <w:numFmt w:val="bullet"/>
      <w:lvlText w:val="•"/>
      <w:lvlJc w:val="left"/>
      <w:pPr>
        <w:ind w:left="460" w:hanging="260"/>
      </w:pPr>
    </w:lvl>
    <w:lvl w:ilvl="1" w:tplc="58563FC2">
      <w:start w:val="1"/>
      <w:numFmt w:val="bullet"/>
      <w:lvlText w:val="◦"/>
      <w:lvlJc w:val="left"/>
      <w:pPr>
        <w:ind w:left="920" w:hanging="260"/>
      </w:pPr>
    </w:lvl>
    <w:lvl w:ilvl="2" w:tplc="5152408C">
      <w:numFmt w:val="decimal"/>
      <w:lvlText w:val=""/>
      <w:lvlJc w:val="left"/>
    </w:lvl>
    <w:lvl w:ilvl="3" w:tplc="9CE2068C">
      <w:numFmt w:val="decimal"/>
      <w:lvlText w:val=""/>
      <w:lvlJc w:val="left"/>
    </w:lvl>
    <w:lvl w:ilvl="4" w:tplc="7A8E2664">
      <w:numFmt w:val="decimal"/>
      <w:lvlText w:val=""/>
      <w:lvlJc w:val="left"/>
    </w:lvl>
    <w:lvl w:ilvl="5" w:tplc="52AAA0BC">
      <w:numFmt w:val="decimal"/>
      <w:lvlText w:val=""/>
      <w:lvlJc w:val="left"/>
    </w:lvl>
    <w:lvl w:ilvl="6" w:tplc="C854C9EC">
      <w:numFmt w:val="decimal"/>
      <w:lvlText w:val=""/>
      <w:lvlJc w:val="left"/>
    </w:lvl>
    <w:lvl w:ilvl="7" w:tplc="EA229E68">
      <w:numFmt w:val="decimal"/>
      <w:lvlText w:val=""/>
      <w:lvlJc w:val="left"/>
    </w:lvl>
    <w:lvl w:ilvl="8" w:tplc="63E6D518">
      <w:numFmt w:val="decimal"/>
      <w:lvlText w:val=""/>
      <w:lvlJc w:val="left"/>
    </w:lvl>
  </w:abstractNum>
  <w:abstractNum w:abstractNumId="2" w15:restartNumberingAfterBreak="0">
    <w:nsid w:val="4B537C95"/>
    <w:multiLevelType w:val="hybridMultilevel"/>
    <w:tmpl w:val="6C0C98E4"/>
    <w:lvl w:ilvl="0" w:tplc="CD8279AC">
      <w:start w:val="1"/>
      <w:numFmt w:val="decimal"/>
      <w:lvlText w:val="%1."/>
      <w:lvlJc w:val="left"/>
      <w:pPr>
        <w:ind w:left="460" w:hanging="260"/>
      </w:pPr>
    </w:lvl>
    <w:lvl w:ilvl="1" w:tplc="184A1AC0">
      <w:numFmt w:val="decimal"/>
      <w:lvlText w:val=""/>
      <w:lvlJc w:val="left"/>
    </w:lvl>
    <w:lvl w:ilvl="2" w:tplc="B43A90BA">
      <w:numFmt w:val="decimal"/>
      <w:lvlText w:val=""/>
      <w:lvlJc w:val="left"/>
    </w:lvl>
    <w:lvl w:ilvl="3" w:tplc="D1A2AED4">
      <w:numFmt w:val="decimal"/>
      <w:lvlText w:val=""/>
      <w:lvlJc w:val="left"/>
    </w:lvl>
    <w:lvl w:ilvl="4" w:tplc="9D38E14C">
      <w:numFmt w:val="decimal"/>
      <w:lvlText w:val=""/>
      <w:lvlJc w:val="left"/>
    </w:lvl>
    <w:lvl w:ilvl="5" w:tplc="B68A7578">
      <w:numFmt w:val="decimal"/>
      <w:lvlText w:val=""/>
      <w:lvlJc w:val="left"/>
    </w:lvl>
    <w:lvl w:ilvl="6" w:tplc="19449888">
      <w:numFmt w:val="decimal"/>
      <w:lvlText w:val=""/>
      <w:lvlJc w:val="left"/>
    </w:lvl>
    <w:lvl w:ilvl="7" w:tplc="4282E802">
      <w:numFmt w:val="decimal"/>
      <w:lvlText w:val=""/>
      <w:lvlJc w:val="left"/>
    </w:lvl>
    <w:lvl w:ilvl="8" w:tplc="3BBCE5E6">
      <w:numFmt w:val="decimal"/>
      <w:lvlText w:val=""/>
      <w:lvlJc w:val="left"/>
    </w:lvl>
  </w:abstractNum>
  <w:num w:numId="1" w16cid:durableId="881088824">
    <w:abstractNumId w:val="0"/>
    <w:lvlOverride w:ilvl="0">
      <w:startOverride w:val="1"/>
    </w:lvlOverride>
  </w:num>
  <w:num w:numId="2" w16cid:durableId="1497724859">
    <w:abstractNumId w:val="2"/>
    <w:lvlOverride w:ilvl="0">
      <w:startOverride w:val="1"/>
    </w:lvlOverride>
  </w:num>
  <w:num w:numId="3" w16cid:durableId="13665591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6A"/>
    <w:rsid w:val="000A3BCC"/>
    <w:rsid w:val="001D7CE3"/>
    <w:rsid w:val="001E27E9"/>
    <w:rsid w:val="001F18A8"/>
    <w:rsid w:val="00225E8E"/>
    <w:rsid w:val="002F72C1"/>
    <w:rsid w:val="00341F07"/>
    <w:rsid w:val="003770B8"/>
    <w:rsid w:val="004409F9"/>
    <w:rsid w:val="004504FA"/>
    <w:rsid w:val="005448B3"/>
    <w:rsid w:val="005531AC"/>
    <w:rsid w:val="0055439B"/>
    <w:rsid w:val="009E70C1"/>
    <w:rsid w:val="009F7FF1"/>
    <w:rsid w:val="00B01E22"/>
    <w:rsid w:val="00B1781B"/>
    <w:rsid w:val="00B23F6F"/>
    <w:rsid w:val="00BC0FE5"/>
    <w:rsid w:val="00BD1BA3"/>
    <w:rsid w:val="00CB16B6"/>
    <w:rsid w:val="00CD676A"/>
    <w:rsid w:val="00D26289"/>
    <w:rsid w:val="00E1448A"/>
    <w:rsid w:val="00ED35C0"/>
    <w:rsid w:val="00F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96752"/>
  <w15:docId w15:val="{923CB676-62EF-0D4A-84C7-BFF05F16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4" w:color="2E5C8A"/>
      </w:pBdr>
      <w:spacing w:before="320" w:after="160"/>
      <w:outlineLvl w:val="0"/>
    </w:pPr>
    <w:rPr>
      <w:b/>
      <w:bCs/>
      <w:color w:val="2E5C8A"/>
      <w:sz w:val="30"/>
      <w:szCs w:val="30"/>
    </w:rPr>
  </w:style>
  <w:style w:type="paragraph" w:styleId="Heading2">
    <w:name w:val="heading 2"/>
    <w:uiPriority w:val="9"/>
    <w:unhideWhenUsed/>
    <w:qFormat/>
    <w:pPr>
      <w:spacing w:before="220" w:after="100"/>
      <w:outlineLvl w:val="1"/>
    </w:pPr>
    <w:rPr>
      <w:b/>
      <w:bCs/>
      <w:color w:val="333333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/>
    </w:pPr>
    <w:rPr>
      <w:b/>
      <w:bCs/>
      <w:color w:val="2E5C8A"/>
      <w:sz w:val="40"/>
      <w:szCs w:val="40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Idea Attribution (SIA) Coding Rubric</vt:lpstr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Idea Attribution (SIA) Coding Rubric</dc:title>
  <dc:creator>SIA Project</dc:creator>
  <cp:lastModifiedBy>Ramos-Draper, Jacqueline</cp:lastModifiedBy>
  <cp:revision>21</cp:revision>
  <dcterms:created xsi:type="dcterms:W3CDTF">2026-06-18T17:23:00Z</dcterms:created>
  <dcterms:modified xsi:type="dcterms:W3CDTF">2026-06-18T17:55:00Z</dcterms:modified>
</cp:coreProperties>
</file>